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jc w:val="center"/>
        <w:tblLook w:val="01E0" w:firstRow="1" w:lastRow="1" w:firstColumn="1" w:lastColumn="1" w:noHBand="0" w:noVBand="0"/>
      </w:tblPr>
      <w:tblGrid>
        <w:gridCol w:w="3469"/>
        <w:gridCol w:w="6719"/>
      </w:tblGrid>
      <w:tr w:rsidR="000D56C0" w:rsidRPr="00523EF1" w:rsidTr="006F0FE2">
        <w:trPr>
          <w:jc w:val="center"/>
        </w:trPr>
        <w:tc>
          <w:tcPr>
            <w:tcW w:w="3469" w:type="dxa"/>
          </w:tcPr>
          <w:p w:rsidR="000D56C0" w:rsidRPr="00025C06" w:rsidRDefault="000D56C0" w:rsidP="006F0FE2">
            <w:pPr>
              <w:tabs>
                <w:tab w:val="center" w:pos="1820"/>
                <w:tab w:val="center" w:pos="6500"/>
              </w:tabs>
              <w:jc w:val="center"/>
              <w:rPr>
                <w:color w:val="000000"/>
                <w:szCs w:val="28"/>
              </w:rPr>
            </w:pPr>
            <w:bookmarkStart w:id="0" w:name="_GoBack"/>
            <w:bookmarkEnd w:id="0"/>
            <w:r w:rsidRPr="00025C06">
              <w:rPr>
                <w:b/>
                <w:color w:val="000000"/>
                <w:szCs w:val="28"/>
              </w:rPr>
              <w:t>HỘI ĐỒNG NHÂN DÂN</w:t>
            </w:r>
          </w:p>
        </w:tc>
        <w:tc>
          <w:tcPr>
            <w:tcW w:w="6719" w:type="dxa"/>
          </w:tcPr>
          <w:p w:rsidR="000D56C0" w:rsidRPr="00025C06" w:rsidRDefault="000D56C0" w:rsidP="006F0FE2">
            <w:pPr>
              <w:tabs>
                <w:tab w:val="center" w:pos="1820"/>
                <w:tab w:val="center" w:pos="6500"/>
              </w:tabs>
              <w:jc w:val="center"/>
              <w:rPr>
                <w:color w:val="000000"/>
                <w:szCs w:val="28"/>
              </w:rPr>
            </w:pPr>
            <w:r w:rsidRPr="00025C06">
              <w:rPr>
                <w:b/>
                <w:color w:val="000000"/>
                <w:szCs w:val="28"/>
              </w:rPr>
              <w:t xml:space="preserve">CỘNG HÒA XÃ HỘI CHỦ NGHĨA VIỆT </w:t>
            </w:r>
            <w:smartTag w:uri="urn:schemas-microsoft-com:office:smarttags" w:element="country-region">
              <w:smartTag w:uri="urn:schemas-microsoft-com:office:smarttags" w:element="place">
                <w:r w:rsidRPr="00025C06">
                  <w:rPr>
                    <w:b/>
                    <w:color w:val="000000"/>
                    <w:szCs w:val="28"/>
                  </w:rPr>
                  <w:t>NAM</w:t>
                </w:r>
              </w:smartTag>
            </w:smartTag>
          </w:p>
        </w:tc>
      </w:tr>
      <w:tr w:rsidR="000D56C0" w:rsidRPr="00523EF1" w:rsidTr="006F0FE2">
        <w:trPr>
          <w:jc w:val="center"/>
        </w:trPr>
        <w:tc>
          <w:tcPr>
            <w:tcW w:w="3469" w:type="dxa"/>
          </w:tcPr>
          <w:p w:rsidR="000D56C0" w:rsidRPr="00025C06" w:rsidRDefault="000D56C0" w:rsidP="006F0FE2">
            <w:pPr>
              <w:tabs>
                <w:tab w:val="center" w:pos="1820"/>
                <w:tab w:val="center" w:pos="6500"/>
              </w:tabs>
              <w:jc w:val="center"/>
              <w:rPr>
                <w:color w:val="000000"/>
                <w:szCs w:val="28"/>
              </w:rPr>
            </w:pPr>
            <w:r w:rsidRPr="00025C06">
              <w:rPr>
                <w:b/>
                <w:color w:val="000000"/>
                <w:szCs w:val="28"/>
              </w:rPr>
              <w:t>TỈNH TÂY NINH</w:t>
            </w:r>
          </w:p>
        </w:tc>
        <w:tc>
          <w:tcPr>
            <w:tcW w:w="6719" w:type="dxa"/>
          </w:tcPr>
          <w:p w:rsidR="000D56C0" w:rsidRPr="00025C06" w:rsidRDefault="000D56C0" w:rsidP="006F0FE2">
            <w:pPr>
              <w:tabs>
                <w:tab w:val="center" w:pos="1820"/>
                <w:tab w:val="center" w:pos="6500"/>
              </w:tabs>
              <w:jc w:val="center"/>
              <w:rPr>
                <w:color w:val="000000"/>
                <w:szCs w:val="28"/>
              </w:rPr>
            </w:pPr>
            <w:r w:rsidRPr="00025C06">
              <w:rPr>
                <w:b/>
                <w:color w:val="000000"/>
                <w:szCs w:val="28"/>
              </w:rPr>
              <w:t>Độc lập – Tự do – Hạnh phúc</w:t>
            </w:r>
          </w:p>
        </w:tc>
      </w:tr>
      <w:tr w:rsidR="000D56C0" w:rsidRPr="00523EF1" w:rsidTr="006F0FE2">
        <w:trPr>
          <w:jc w:val="center"/>
        </w:trPr>
        <w:tc>
          <w:tcPr>
            <w:tcW w:w="3469" w:type="dxa"/>
          </w:tcPr>
          <w:p w:rsidR="000D56C0" w:rsidRPr="00523EF1" w:rsidRDefault="000D56C0" w:rsidP="006F0FE2">
            <w:pPr>
              <w:tabs>
                <w:tab w:val="center" w:pos="1820"/>
                <w:tab w:val="center" w:pos="6500"/>
              </w:tabs>
              <w:jc w:val="center"/>
              <w:rPr>
                <w:b/>
                <w:color w:val="000000"/>
                <w:sz w:val="28"/>
                <w:szCs w:val="28"/>
                <w:vertAlign w:val="superscript"/>
              </w:rPr>
            </w:pPr>
            <w:r>
              <w:rPr>
                <w:noProof/>
                <w:color w:val="000000"/>
                <w:sz w:val="28"/>
                <w:szCs w:val="28"/>
              </w:rPr>
              <mc:AlternateContent>
                <mc:Choice Requires="wps">
                  <w:drawing>
                    <wp:anchor distT="0" distB="0" distL="114300" distR="114300" simplePos="0" relativeHeight="251661312" behindDoc="0" locked="0" layoutInCell="1" allowOverlap="1" wp14:anchorId="0B6CDCDB" wp14:editId="6A6175FA">
                      <wp:simplePos x="0" y="0"/>
                      <wp:positionH relativeFrom="column">
                        <wp:posOffset>493395</wp:posOffset>
                      </wp:positionH>
                      <wp:positionV relativeFrom="paragraph">
                        <wp:posOffset>22860</wp:posOffset>
                      </wp:positionV>
                      <wp:extent cx="1031240" cy="0"/>
                      <wp:effectExtent l="508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8pt" to="12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2b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rNJ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8MiVO2wAAAAYBAAAPAAAAZHJzL2Rvd25yZXYueG1sTI7BTsMwEETv&#10;lfgHa5G4VNRuWjUoxKkQkBsXWhDXbbwkEfE6jd028PWYXuhxNKM3L1+PthNHGnzrWMN8pkAQV860&#10;XGt425a3dyB8QDbYOSYN3+RhXVxNcsyMO/ErHTehFhHCPkMNTQh9JqWvGrLoZ64njt2nGyyGGIda&#10;mgFPEW47mSi1khZbjg8N9vTYUPW1OVgNvnynffkzrabqY1E7SvZPL8+o9c31+HAPItAY/sfwpx/V&#10;oYhOO3dg40WnIU3TuNSwWIGIdbJUcxC7c5ZFLi/1i18AAAD//wMAUEsBAi0AFAAGAAgAAAAhALaD&#10;OJL+AAAA4QEAABMAAAAAAAAAAAAAAAAAAAAAAFtDb250ZW50X1R5cGVzXS54bWxQSwECLQAUAAYA&#10;CAAAACEAOP0h/9YAAACUAQAACwAAAAAAAAAAAAAAAAAvAQAAX3JlbHMvLnJlbHNQSwECLQAUAAYA&#10;CAAAACEAztItmx0CAAA2BAAADgAAAAAAAAAAAAAAAAAuAgAAZHJzL2Uyb0RvYy54bWxQSwECLQAU&#10;AAYACAAAACEAvDIlTtsAAAAGAQAADwAAAAAAAAAAAAAAAAB3BAAAZHJzL2Rvd25yZXYueG1sUEsF&#10;BgAAAAAEAAQA8wAAAH8FAAAAAA==&#10;"/>
                  </w:pict>
                </mc:Fallback>
              </mc:AlternateContent>
            </w:r>
          </w:p>
        </w:tc>
        <w:tc>
          <w:tcPr>
            <w:tcW w:w="6719" w:type="dxa"/>
          </w:tcPr>
          <w:p w:rsidR="000D56C0" w:rsidRPr="00523EF1" w:rsidRDefault="000D56C0" w:rsidP="006F0FE2">
            <w:pPr>
              <w:tabs>
                <w:tab w:val="center" w:pos="1820"/>
                <w:tab w:val="center" w:pos="6500"/>
              </w:tabs>
              <w:jc w:val="center"/>
              <w:rPr>
                <w:b/>
                <w:color w:val="000000"/>
                <w:sz w:val="28"/>
                <w:szCs w:val="28"/>
                <w:vertAlign w:val="superscript"/>
              </w:rPr>
            </w:pPr>
            <w:r>
              <w:rPr>
                <w:noProof/>
                <w:color w:val="000000"/>
                <w:sz w:val="28"/>
                <w:szCs w:val="28"/>
              </w:rPr>
              <mc:AlternateContent>
                <mc:Choice Requires="wps">
                  <w:drawing>
                    <wp:anchor distT="0" distB="0" distL="114300" distR="114300" simplePos="0" relativeHeight="251660288" behindDoc="0" locked="0" layoutInCell="1" allowOverlap="1" wp14:anchorId="37F7EF68" wp14:editId="3DA83EB9">
                      <wp:simplePos x="0" y="0"/>
                      <wp:positionH relativeFrom="column">
                        <wp:posOffset>1161415</wp:posOffset>
                      </wp:positionH>
                      <wp:positionV relativeFrom="paragraph">
                        <wp:posOffset>22860</wp:posOffset>
                      </wp:positionV>
                      <wp:extent cx="1775460" cy="0"/>
                      <wp:effectExtent l="8890" t="5715" r="635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5pt,1.8pt" to="23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UB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9DTNZ9BCOvgSUgyJxjr/iesOBaPEUqggGynI6cX5&#10;QIQUQ0g4VnojpIytlwr1JV5Ms2lMcFoKFpwhzNnDvpIWnUgYnvjFqsDzGGb1UbEI1nLC1jfbEyGv&#10;NlwuVcCDUoDOzbpOx4/FZLGer+f5KM9m61E+qevRx02Vj2ab9Glaf6irqk5/BmppXrSCMa4Cu2FS&#10;0/zvJuH2Zq4zdp/VuwzJW/SoF5Ad/pF07GVo33UQ9ppdtnboMQxnDL49pDD9j3uwH5/76hcAAAD/&#10;/wMAUEsDBBQABgAIAAAAIQAH2VUZ2gAAAAcBAAAPAAAAZHJzL2Rvd25yZXYueG1sTI7BTsMwEETv&#10;SPyDtUhcKuqQQlRCnAoBuXFpAXHdxksSEa/T2G0DX8/CBY5PM5p5xWpyvTrQGDrPBi7nCSji2tuO&#10;GwMvz9XFElSIyBZ7z2TgkwKsytOTAnPrj7ymwyY2SkY45GigjXHItQ51Sw7D3A/Ekr370WEUHBtt&#10;RzzKuOt1miSZdtixPLQ40H1L9cdm7wyE6pV21desniVvi8ZTunt4ekRjzs+mu1tQkab4V4YffVGH&#10;Upy2fs82qF54md5I1cAiAyX5VZZeg9r+si4L/d+//AYAAP//AwBQSwECLQAUAAYACAAAACEAtoM4&#10;kv4AAADhAQAAEwAAAAAAAAAAAAAAAAAAAAAAW0NvbnRlbnRfVHlwZXNdLnhtbFBLAQItABQABgAI&#10;AAAAIQA4/SH/1gAAAJQBAAALAAAAAAAAAAAAAAAAAC8BAABfcmVscy8ucmVsc1BLAQItABQABgAI&#10;AAAAIQCfLLUBHQIAADYEAAAOAAAAAAAAAAAAAAAAAC4CAABkcnMvZTJvRG9jLnhtbFBLAQItABQA&#10;BgAIAAAAIQAH2VUZ2gAAAAcBAAAPAAAAAAAAAAAAAAAAAHcEAABkcnMvZG93bnJldi54bWxQSwUG&#10;AAAAAAQABADzAAAAfgUAAAAA&#10;"/>
                  </w:pict>
                </mc:Fallback>
              </mc:AlternateContent>
            </w:r>
          </w:p>
        </w:tc>
      </w:tr>
      <w:tr w:rsidR="000D56C0" w:rsidRPr="00523EF1" w:rsidTr="006F0FE2">
        <w:trPr>
          <w:jc w:val="center"/>
        </w:trPr>
        <w:tc>
          <w:tcPr>
            <w:tcW w:w="3469" w:type="dxa"/>
          </w:tcPr>
          <w:p w:rsidR="000D56C0" w:rsidRPr="00523EF1" w:rsidRDefault="000D56C0" w:rsidP="006F0FE2">
            <w:pPr>
              <w:tabs>
                <w:tab w:val="center" w:pos="1820"/>
                <w:tab w:val="center" w:pos="6500"/>
              </w:tabs>
              <w:jc w:val="center"/>
              <w:rPr>
                <w:b/>
                <w:color w:val="000000"/>
                <w:sz w:val="28"/>
                <w:szCs w:val="28"/>
              </w:rPr>
            </w:pPr>
            <w:r w:rsidRPr="00523EF1">
              <w:rPr>
                <w:color w:val="000000"/>
                <w:sz w:val="28"/>
                <w:szCs w:val="28"/>
              </w:rPr>
              <w:t>Số</w:t>
            </w:r>
            <w:r>
              <w:rPr>
                <w:color w:val="000000"/>
                <w:sz w:val="28"/>
                <w:szCs w:val="28"/>
              </w:rPr>
              <w:t>:</w:t>
            </w:r>
            <w:r w:rsidRPr="00523EF1">
              <w:rPr>
                <w:color w:val="000000"/>
                <w:sz w:val="28"/>
                <w:szCs w:val="28"/>
              </w:rPr>
              <w:t xml:space="preserve"> </w:t>
            </w:r>
            <w:r>
              <w:rPr>
                <w:color w:val="000000"/>
                <w:sz w:val="28"/>
                <w:szCs w:val="28"/>
              </w:rPr>
              <w:t>21</w:t>
            </w:r>
            <w:r w:rsidRPr="00523EF1">
              <w:rPr>
                <w:color w:val="000000"/>
                <w:sz w:val="28"/>
                <w:szCs w:val="28"/>
              </w:rPr>
              <w:t>/2012/NQ-HĐND</w:t>
            </w:r>
          </w:p>
        </w:tc>
        <w:tc>
          <w:tcPr>
            <w:tcW w:w="6719" w:type="dxa"/>
          </w:tcPr>
          <w:p w:rsidR="000D56C0" w:rsidRPr="00523EF1" w:rsidRDefault="000D56C0" w:rsidP="006F0FE2">
            <w:pPr>
              <w:tabs>
                <w:tab w:val="center" w:pos="1820"/>
                <w:tab w:val="center" w:pos="6500"/>
              </w:tabs>
              <w:jc w:val="center"/>
              <w:rPr>
                <w:b/>
                <w:color w:val="000000"/>
                <w:sz w:val="28"/>
                <w:szCs w:val="28"/>
              </w:rPr>
            </w:pPr>
            <w:r>
              <w:rPr>
                <w:i/>
                <w:color w:val="000000"/>
                <w:sz w:val="28"/>
                <w:szCs w:val="28"/>
                <w:lang w:val="vi-VN"/>
              </w:rPr>
              <w:t xml:space="preserve">      </w:t>
            </w:r>
            <w:r>
              <w:rPr>
                <w:i/>
                <w:color w:val="000000"/>
                <w:sz w:val="28"/>
                <w:szCs w:val="28"/>
              </w:rPr>
              <w:t>Tây Ninh, ngày 10 tháng 10</w:t>
            </w:r>
            <w:r w:rsidRPr="00523EF1">
              <w:rPr>
                <w:i/>
                <w:color w:val="000000"/>
                <w:sz w:val="28"/>
                <w:szCs w:val="28"/>
              </w:rPr>
              <w:t xml:space="preserve"> năm 2012</w:t>
            </w:r>
          </w:p>
        </w:tc>
      </w:tr>
    </w:tbl>
    <w:p w:rsidR="000D56C0" w:rsidRDefault="000D56C0" w:rsidP="000D56C0">
      <w:pPr>
        <w:pStyle w:val="Heading1"/>
        <w:rPr>
          <w:color w:val="000000"/>
          <w:sz w:val="32"/>
          <w:szCs w:val="28"/>
        </w:rPr>
      </w:pPr>
    </w:p>
    <w:p w:rsidR="000D56C0" w:rsidRPr="00025C06" w:rsidRDefault="000D56C0" w:rsidP="000D56C0">
      <w:pPr>
        <w:pStyle w:val="Heading1"/>
        <w:rPr>
          <w:b/>
          <w:color w:val="000000"/>
          <w:szCs w:val="28"/>
        </w:rPr>
      </w:pPr>
      <w:r w:rsidRPr="00025C06">
        <w:rPr>
          <w:b/>
          <w:color w:val="000000"/>
          <w:szCs w:val="28"/>
        </w:rPr>
        <w:t>NGHỊ QUYẾT</w:t>
      </w:r>
    </w:p>
    <w:p w:rsidR="000D56C0" w:rsidRPr="00025C06" w:rsidRDefault="000D56C0" w:rsidP="000D56C0">
      <w:pPr>
        <w:jc w:val="center"/>
        <w:rPr>
          <w:b/>
          <w:color w:val="000000"/>
          <w:sz w:val="28"/>
          <w:szCs w:val="28"/>
        </w:rPr>
      </w:pPr>
      <w:r w:rsidRPr="00025C06">
        <w:rPr>
          <w:b/>
          <w:sz w:val="28"/>
          <w:szCs w:val="28"/>
        </w:rPr>
        <w:t>Về chế độ khuyến khích học tập đối với học sinh các trường trung học phổ thông, trường Phổ thông Dân tộc nội trú và trung tâm giáo dục thường xuyên trên địa bàn tỉnh Tây Ninh</w:t>
      </w:r>
    </w:p>
    <w:p w:rsidR="000D56C0" w:rsidRPr="00025C06" w:rsidRDefault="000D56C0" w:rsidP="000D56C0">
      <w:pPr>
        <w:jc w:val="center"/>
        <w:rPr>
          <w:b/>
          <w:color w:val="000000"/>
          <w:sz w:val="28"/>
          <w:szCs w:val="28"/>
        </w:rPr>
      </w:pPr>
      <w:r>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2477135</wp:posOffset>
                </wp:positionH>
                <wp:positionV relativeFrom="paragraph">
                  <wp:posOffset>38100</wp:posOffset>
                </wp:positionV>
                <wp:extent cx="1155700" cy="0"/>
                <wp:effectExtent l="10160"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05pt,3pt" to="286.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W5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LJtOH1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P2FFNTaAAAABwEAAA8AAABkcnMvZG93bnJldi54bWxM&#10;j8FOwzAQRO9I/IO1SNyo3VQUGuJUFQIuSEgtgbMTL0mEvY5iNw1/z8IFjk8zmn1bbGfvxIRj7ANp&#10;WC4UCKQm2J5aDdXr49UtiJgMWeMCoYYvjLAtz88Kk9twoj1Oh9QKHqGYGw1dSkMuZWw69CYuwoDE&#10;2UcYvUmMYyvtaE487p3MlFpLb3riC50Z8L7D5vNw9Bp2788Pq5ep9sHZTVu9WV+pp0zry4t5dwci&#10;4Zz+yvCjz+pQslMdjmSjcBpWG7XkqoY1v8T59U3GXP+yLAv537/8BgAA//8DAFBLAQItABQABgAI&#10;AAAAIQC2gziS/gAAAOEBAAATAAAAAAAAAAAAAAAAAAAAAABbQ29udGVudF9UeXBlc10ueG1sUEsB&#10;Ai0AFAAGAAgAAAAhADj9If/WAAAAlAEAAAsAAAAAAAAAAAAAAAAALwEAAF9yZWxzLy5yZWxzUEsB&#10;Ai0AFAAGAAgAAAAhAAkq5bklAgAAQAQAAA4AAAAAAAAAAAAAAAAALgIAAGRycy9lMm9Eb2MueG1s&#10;UEsBAi0AFAAGAAgAAAAhAP2FFNTaAAAABwEAAA8AAAAAAAAAAAAAAAAAfwQAAGRycy9kb3ducmV2&#10;LnhtbFBLBQYAAAAABAAEAPMAAACGBQAAAAA=&#10;"/>
            </w:pict>
          </mc:Fallback>
        </mc:AlternateContent>
      </w:r>
    </w:p>
    <w:p w:rsidR="000D56C0" w:rsidRPr="00025C06" w:rsidRDefault="000D56C0" w:rsidP="000D56C0">
      <w:pPr>
        <w:jc w:val="center"/>
        <w:rPr>
          <w:b/>
          <w:color w:val="000000"/>
          <w:sz w:val="28"/>
          <w:szCs w:val="28"/>
        </w:rPr>
      </w:pPr>
      <w:r w:rsidRPr="00025C06">
        <w:rPr>
          <w:b/>
          <w:color w:val="000000"/>
          <w:sz w:val="28"/>
          <w:szCs w:val="28"/>
        </w:rPr>
        <w:t>HỘI ĐỒNG NHÂN DÂN TỈNH TÂY NINH</w:t>
      </w:r>
    </w:p>
    <w:p w:rsidR="000D56C0" w:rsidRDefault="000D56C0" w:rsidP="000D56C0">
      <w:pPr>
        <w:pStyle w:val="Heading1"/>
        <w:rPr>
          <w:b/>
          <w:color w:val="000000"/>
          <w:szCs w:val="28"/>
          <w:lang w:val="vi-VN"/>
        </w:rPr>
      </w:pPr>
      <w:r w:rsidRPr="00025C06">
        <w:rPr>
          <w:b/>
          <w:color w:val="000000"/>
          <w:szCs w:val="28"/>
        </w:rPr>
        <w:t>KH</w:t>
      </w:r>
      <w:r>
        <w:rPr>
          <w:b/>
          <w:color w:val="000000"/>
          <w:szCs w:val="28"/>
        </w:rPr>
        <w:t>ÓA</w:t>
      </w:r>
      <w:r w:rsidRPr="00025C06">
        <w:rPr>
          <w:b/>
          <w:color w:val="000000"/>
          <w:szCs w:val="28"/>
        </w:rPr>
        <w:t xml:space="preserve"> VIII, KỲ HỌP THỨ 5</w:t>
      </w:r>
    </w:p>
    <w:p w:rsidR="000D56C0" w:rsidRPr="001B4744" w:rsidRDefault="000D56C0" w:rsidP="000D56C0">
      <w:pPr>
        <w:rPr>
          <w:sz w:val="12"/>
          <w:lang w:val="vi-VN"/>
        </w:rPr>
      </w:pPr>
    </w:p>
    <w:p w:rsidR="000D56C0" w:rsidRPr="00025C06" w:rsidRDefault="000D56C0" w:rsidP="000D56C0">
      <w:pPr>
        <w:pStyle w:val="BodyText2"/>
        <w:rPr>
          <w:szCs w:val="28"/>
        </w:rPr>
      </w:pPr>
      <w:r w:rsidRPr="00025C06">
        <w:rPr>
          <w:szCs w:val="28"/>
        </w:rPr>
        <w:tab/>
        <w:t>Căn cứ Luật Tổ chức Hội đồng nhân dân và Ủy ban nhân dân năm 2003;</w:t>
      </w:r>
    </w:p>
    <w:p w:rsidR="000D56C0" w:rsidRPr="00025C06" w:rsidRDefault="000D56C0" w:rsidP="000D56C0">
      <w:pPr>
        <w:ind w:firstLine="720"/>
        <w:jc w:val="both"/>
        <w:rPr>
          <w:color w:val="000000"/>
          <w:sz w:val="28"/>
          <w:szCs w:val="28"/>
        </w:rPr>
      </w:pPr>
      <w:r w:rsidRPr="00025C06">
        <w:rPr>
          <w:color w:val="000000"/>
          <w:sz w:val="28"/>
          <w:szCs w:val="28"/>
        </w:rPr>
        <w:t>Căn cứ Luật Ngân sách Nhà nước năm 2002;</w:t>
      </w:r>
    </w:p>
    <w:p w:rsidR="000D56C0" w:rsidRPr="00025C06" w:rsidRDefault="000D56C0" w:rsidP="000D56C0">
      <w:pPr>
        <w:ind w:firstLine="720"/>
        <w:jc w:val="both"/>
        <w:rPr>
          <w:color w:val="000000"/>
          <w:sz w:val="28"/>
          <w:szCs w:val="28"/>
        </w:rPr>
      </w:pPr>
      <w:r w:rsidRPr="00025C06">
        <w:rPr>
          <w:color w:val="000000"/>
          <w:sz w:val="28"/>
          <w:szCs w:val="28"/>
        </w:rPr>
        <w:t>Căn cứ Luật Giáo dục năm 2005;</w:t>
      </w:r>
    </w:p>
    <w:p w:rsidR="000D56C0" w:rsidRPr="00025C06" w:rsidRDefault="000D56C0" w:rsidP="000D56C0">
      <w:pPr>
        <w:ind w:firstLine="720"/>
        <w:jc w:val="both"/>
        <w:rPr>
          <w:color w:val="000000"/>
          <w:sz w:val="28"/>
          <w:szCs w:val="28"/>
        </w:rPr>
      </w:pPr>
      <w:r w:rsidRPr="00025C06">
        <w:rPr>
          <w:color w:val="000000"/>
          <w:sz w:val="28"/>
          <w:szCs w:val="28"/>
        </w:rPr>
        <w:t>Căn cứ Nghị định số 60/2003/NĐ-CP</w:t>
      </w:r>
      <w:r>
        <w:rPr>
          <w:color w:val="000000"/>
          <w:sz w:val="28"/>
          <w:szCs w:val="28"/>
        </w:rPr>
        <w:t>,</w:t>
      </w:r>
      <w:r w:rsidRPr="00025C06">
        <w:rPr>
          <w:color w:val="000000"/>
          <w:sz w:val="28"/>
          <w:szCs w:val="28"/>
        </w:rPr>
        <w:t xml:space="preserve"> ngày 06 tháng 6 năm 2003 của Chính phủ Quy định chi tiết và hướng dẫn thi hành Luật Ngân sách Nhà nước;</w:t>
      </w:r>
    </w:p>
    <w:p w:rsidR="000D56C0" w:rsidRPr="00025C06" w:rsidRDefault="000D56C0" w:rsidP="000D56C0">
      <w:pPr>
        <w:ind w:firstLine="720"/>
        <w:jc w:val="both"/>
        <w:rPr>
          <w:color w:val="000000"/>
          <w:sz w:val="28"/>
          <w:szCs w:val="28"/>
        </w:rPr>
      </w:pPr>
      <w:r w:rsidRPr="00025C06">
        <w:rPr>
          <w:color w:val="000000"/>
          <w:sz w:val="28"/>
          <w:szCs w:val="28"/>
        </w:rPr>
        <w:t>Căn cứ Nghị định số 75/2006/NĐ-CP</w:t>
      </w:r>
      <w:r>
        <w:rPr>
          <w:color w:val="000000"/>
          <w:sz w:val="28"/>
          <w:szCs w:val="28"/>
        </w:rPr>
        <w:t>,</w:t>
      </w:r>
      <w:r w:rsidRPr="00025C06">
        <w:rPr>
          <w:color w:val="000000"/>
          <w:sz w:val="28"/>
          <w:szCs w:val="28"/>
        </w:rPr>
        <w:t xml:space="preserve"> ngày 02 tháng 8 năm 2006 của Chính phủ Quy định chi tiết và hướng dẫn thi hành một số điều của Luật Giáo dục năm 2005;</w:t>
      </w:r>
    </w:p>
    <w:p w:rsidR="000D56C0" w:rsidRPr="00025C06" w:rsidRDefault="000D56C0" w:rsidP="000D56C0">
      <w:pPr>
        <w:jc w:val="both"/>
        <w:rPr>
          <w:bCs/>
          <w:color w:val="000000"/>
          <w:sz w:val="28"/>
          <w:szCs w:val="28"/>
        </w:rPr>
      </w:pPr>
      <w:r w:rsidRPr="00025C06">
        <w:rPr>
          <w:sz w:val="28"/>
          <w:szCs w:val="28"/>
        </w:rPr>
        <w:tab/>
        <w:t>Căn cứ Quyết định số 44/2007/</w:t>
      </w:r>
      <w:r>
        <w:rPr>
          <w:sz w:val="28"/>
          <w:szCs w:val="28"/>
        </w:rPr>
        <w:t>QĐ-</w:t>
      </w:r>
      <w:r w:rsidRPr="00025C06">
        <w:rPr>
          <w:sz w:val="28"/>
          <w:szCs w:val="28"/>
        </w:rPr>
        <w:t>BGDĐT</w:t>
      </w:r>
      <w:r>
        <w:rPr>
          <w:sz w:val="28"/>
          <w:szCs w:val="28"/>
        </w:rPr>
        <w:t>,</w:t>
      </w:r>
      <w:r w:rsidRPr="00025C06">
        <w:rPr>
          <w:sz w:val="28"/>
          <w:szCs w:val="28"/>
        </w:rPr>
        <w:t xml:space="preserve"> ngày 15 tháng 8 năm 2007 của Bộ Giáo dục và Đào tạo</w:t>
      </w:r>
      <w:r w:rsidRPr="00025C06">
        <w:rPr>
          <w:bCs/>
          <w:color w:val="000000"/>
          <w:spacing w:val="-8"/>
          <w:sz w:val="28"/>
          <w:szCs w:val="28"/>
        </w:rPr>
        <w:t xml:space="preserve"> về học bổng khuyến khích </w:t>
      </w:r>
      <w:r w:rsidRPr="00025C06">
        <w:rPr>
          <w:bCs/>
          <w:color w:val="000000"/>
          <w:sz w:val="28"/>
          <w:szCs w:val="28"/>
        </w:rPr>
        <w:t>học tập đối với học sinh, sinh viên trong các trường chuyên, trường năng khiếu, các cơ sở giáo dục đại học và trung cấp chuyên nghiệp thuộc hệ thống</w:t>
      </w:r>
      <w:r w:rsidRPr="00025C06">
        <w:rPr>
          <w:bCs/>
          <w:color w:val="000000"/>
          <w:spacing w:val="-8"/>
          <w:sz w:val="28"/>
          <w:szCs w:val="28"/>
        </w:rPr>
        <w:t xml:space="preserve"> </w:t>
      </w:r>
      <w:r w:rsidRPr="00025C06">
        <w:rPr>
          <w:bCs/>
          <w:color w:val="000000"/>
          <w:sz w:val="28"/>
          <w:szCs w:val="28"/>
        </w:rPr>
        <w:t>giáo dục quốc dân;</w:t>
      </w:r>
    </w:p>
    <w:p w:rsidR="000D56C0" w:rsidRPr="00025C06" w:rsidRDefault="000D56C0" w:rsidP="000D56C0">
      <w:pPr>
        <w:ind w:firstLine="280"/>
        <w:jc w:val="both"/>
        <w:rPr>
          <w:sz w:val="28"/>
          <w:szCs w:val="28"/>
        </w:rPr>
      </w:pPr>
      <w:r w:rsidRPr="00025C06">
        <w:rPr>
          <w:sz w:val="28"/>
          <w:szCs w:val="28"/>
        </w:rPr>
        <w:t xml:space="preserve">      Căn cứ Thông tư liên tịch số 109/2009/TTLT-BTC-BGDĐT</w:t>
      </w:r>
      <w:r>
        <w:rPr>
          <w:sz w:val="28"/>
          <w:szCs w:val="28"/>
        </w:rPr>
        <w:t>, ngày 29 tháng 5 năm 2009 của</w:t>
      </w:r>
      <w:r w:rsidRPr="00025C06">
        <w:rPr>
          <w:sz w:val="28"/>
          <w:szCs w:val="28"/>
        </w:rPr>
        <w:t xml:space="preserve"> liên Bộ Tài chính - Bộ Giáo dục và Đào tạo Hướng dẫn một số chế độ tài chính đối với học sinh các trường phổ thông dân tộc nội trú và các trường dự bị đại học dân tộc;</w:t>
      </w:r>
    </w:p>
    <w:p w:rsidR="000D56C0" w:rsidRPr="00025C06" w:rsidRDefault="000D56C0" w:rsidP="000D56C0">
      <w:pPr>
        <w:jc w:val="both"/>
        <w:rPr>
          <w:bCs/>
          <w:sz w:val="28"/>
          <w:szCs w:val="28"/>
        </w:rPr>
      </w:pPr>
      <w:r w:rsidRPr="00025C06">
        <w:rPr>
          <w:color w:val="000000"/>
          <w:sz w:val="28"/>
          <w:szCs w:val="28"/>
        </w:rPr>
        <w:tab/>
        <w:t>Sau khi xem xét Tờ trình số 2098/TTr-UBND</w:t>
      </w:r>
      <w:r>
        <w:rPr>
          <w:color w:val="000000"/>
          <w:sz w:val="28"/>
          <w:szCs w:val="28"/>
        </w:rPr>
        <w:t>,</w:t>
      </w:r>
      <w:r w:rsidRPr="00025C06">
        <w:rPr>
          <w:color w:val="000000"/>
          <w:sz w:val="28"/>
          <w:szCs w:val="28"/>
        </w:rPr>
        <w:t xml:space="preserve"> ngày 26 tháng 9 năm 2012 của Ủy ban nhân dân tỉnh Tây Ninh về </w:t>
      </w:r>
      <w:r w:rsidRPr="00025C06">
        <w:rPr>
          <w:sz w:val="28"/>
          <w:szCs w:val="28"/>
        </w:rPr>
        <w:t>c</w:t>
      </w:r>
      <w:r w:rsidRPr="00025C06">
        <w:rPr>
          <w:bCs/>
          <w:sz w:val="28"/>
          <w:szCs w:val="28"/>
        </w:rPr>
        <w:t xml:space="preserve">hế độ thưởng khuyến khích học tập đối với học sinh trường trung học phổ thông, trường Trung học phổ thông chuyên Hoàng Lê Kha, trường Phổ thông Dân tộc nội trú tỉnh và các trung tâm giáo dục thường xuyên huyện, thị xã trên địa bàn </w:t>
      </w:r>
      <w:r>
        <w:rPr>
          <w:bCs/>
          <w:sz w:val="28"/>
          <w:szCs w:val="28"/>
        </w:rPr>
        <w:t>t</w:t>
      </w:r>
      <w:r w:rsidRPr="00025C06">
        <w:rPr>
          <w:bCs/>
          <w:sz w:val="28"/>
          <w:szCs w:val="28"/>
        </w:rPr>
        <w:t>ỉnh</w:t>
      </w:r>
      <w:r w:rsidRPr="00025C06">
        <w:rPr>
          <w:sz w:val="28"/>
          <w:szCs w:val="28"/>
        </w:rPr>
        <w:t>, Báo cáo thẩm tra của Ban Kinh tế và Ngân sách Hội đồng nhân dân tỉnh và ý kiến của các đại biểu Hội đồng nhân dân tỉnh,</w:t>
      </w:r>
    </w:p>
    <w:p w:rsidR="000D56C0" w:rsidRPr="001B4744" w:rsidRDefault="000D56C0" w:rsidP="000D56C0">
      <w:pPr>
        <w:pStyle w:val="BodyText2"/>
        <w:ind w:firstLine="720"/>
        <w:jc w:val="center"/>
        <w:rPr>
          <w:b/>
          <w:color w:val="000000"/>
          <w:sz w:val="12"/>
          <w:szCs w:val="12"/>
        </w:rPr>
      </w:pPr>
    </w:p>
    <w:p w:rsidR="000D56C0" w:rsidRPr="00025C06" w:rsidRDefault="000D56C0" w:rsidP="000D56C0">
      <w:pPr>
        <w:pStyle w:val="BodyText2"/>
        <w:jc w:val="center"/>
        <w:rPr>
          <w:b/>
          <w:color w:val="000000"/>
          <w:szCs w:val="28"/>
        </w:rPr>
      </w:pPr>
      <w:r w:rsidRPr="00025C06">
        <w:rPr>
          <w:b/>
          <w:color w:val="000000"/>
          <w:szCs w:val="28"/>
        </w:rPr>
        <w:t>QUYẾT NGHỊ:</w:t>
      </w:r>
    </w:p>
    <w:p w:rsidR="000D56C0" w:rsidRPr="001B4744" w:rsidRDefault="000D56C0" w:rsidP="000D56C0">
      <w:pPr>
        <w:pStyle w:val="BodyText2"/>
        <w:ind w:firstLine="720"/>
        <w:jc w:val="center"/>
        <w:rPr>
          <w:b/>
          <w:color w:val="000000"/>
          <w:sz w:val="12"/>
          <w:szCs w:val="12"/>
        </w:rPr>
      </w:pPr>
    </w:p>
    <w:p w:rsidR="000D56C0" w:rsidRPr="00025C06" w:rsidRDefault="000D56C0" w:rsidP="000D56C0">
      <w:pPr>
        <w:jc w:val="both"/>
        <w:rPr>
          <w:b/>
          <w:sz w:val="28"/>
          <w:szCs w:val="28"/>
        </w:rPr>
      </w:pPr>
      <w:r w:rsidRPr="00025C06">
        <w:rPr>
          <w:b/>
          <w:bCs/>
          <w:color w:val="000000"/>
          <w:sz w:val="28"/>
          <w:szCs w:val="28"/>
        </w:rPr>
        <w:tab/>
        <w:t>Điều 1.</w:t>
      </w:r>
      <w:r w:rsidRPr="00025C06">
        <w:rPr>
          <w:color w:val="000000"/>
          <w:sz w:val="28"/>
          <w:szCs w:val="28"/>
        </w:rPr>
        <w:t xml:space="preserve"> Thống nhất thông qua chế độ</w:t>
      </w:r>
      <w:r w:rsidRPr="00025C06">
        <w:rPr>
          <w:sz w:val="28"/>
          <w:szCs w:val="28"/>
        </w:rPr>
        <w:t xml:space="preserve"> khuyến khích học tập đối với học sinh các trường trung học phổ thông, trường Phổ thông Dân tộc nội trú và trung tâm giáo dục thường xuyên trên địa bàn tỉnh Tây Ninh</w:t>
      </w:r>
      <w:r w:rsidRPr="00025C06">
        <w:rPr>
          <w:bCs/>
          <w:sz w:val="28"/>
          <w:szCs w:val="28"/>
        </w:rPr>
        <w:t>,</w:t>
      </w:r>
      <w:r w:rsidRPr="00025C06">
        <w:rPr>
          <w:sz w:val="28"/>
          <w:szCs w:val="28"/>
        </w:rPr>
        <w:t xml:space="preserve"> áp dụng từ năm học 2012-2013 trở đi </w:t>
      </w:r>
      <w:r w:rsidRPr="00025C06">
        <w:rPr>
          <w:color w:val="000000"/>
          <w:sz w:val="28"/>
          <w:szCs w:val="28"/>
        </w:rPr>
        <w:t>với các nội dung chính như sau:</w:t>
      </w:r>
    </w:p>
    <w:p w:rsidR="000D56C0" w:rsidRPr="00025C06" w:rsidRDefault="000D56C0" w:rsidP="000D56C0">
      <w:pPr>
        <w:jc w:val="both"/>
        <w:rPr>
          <w:sz w:val="28"/>
          <w:szCs w:val="28"/>
          <w:lang w:val="nl-NL"/>
        </w:rPr>
      </w:pPr>
      <w:r w:rsidRPr="00025C06">
        <w:rPr>
          <w:sz w:val="28"/>
          <w:szCs w:val="28"/>
          <w:lang w:val="nl-NL"/>
        </w:rPr>
        <w:lastRenderedPageBreak/>
        <w:tab/>
        <w:t>1. Đối với trường trung học phổ thông (kể cả trường ngoài công lập, trường phổ thông chuyên Hoàng Lê Kha, trường Phổ thông Dân tộc nội trú)</w:t>
      </w:r>
    </w:p>
    <w:p w:rsidR="000D56C0" w:rsidRPr="00025C06" w:rsidRDefault="000D56C0" w:rsidP="000D56C0">
      <w:pPr>
        <w:jc w:val="both"/>
        <w:rPr>
          <w:sz w:val="28"/>
          <w:szCs w:val="28"/>
          <w:lang w:val="nl-NL"/>
        </w:rPr>
      </w:pPr>
      <w:r w:rsidRPr="00025C06">
        <w:rPr>
          <w:sz w:val="28"/>
          <w:szCs w:val="28"/>
          <w:lang w:val="nl-NL"/>
        </w:rPr>
        <w:tab/>
        <w:t>a) Đối tượng được hưởng là học sinh đ</w:t>
      </w:r>
      <w:r w:rsidRPr="00025C06">
        <w:rPr>
          <w:color w:val="000000"/>
          <w:sz w:val="28"/>
          <w:szCs w:val="28"/>
          <w:lang w:val="nl-NL"/>
        </w:rPr>
        <w:t>ạt được một trong các giải từ giải khuyến khích trở lên trong các kỳ thi học sinh giỏi cấp Quốc gia, khu vực quốc tế hoặc quốc tế của năm học đó.</w:t>
      </w:r>
      <w:r w:rsidRPr="00025C06">
        <w:rPr>
          <w:sz w:val="28"/>
          <w:szCs w:val="28"/>
          <w:lang w:val="nl-NL"/>
        </w:rPr>
        <w:t xml:space="preserve"> </w:t>
      </w:r>
    </w:p>
    <w:p w:rsidR="000D56C0" w:rsidRPr="00025C06" w:rsidRDefault="000D56C0" w:rsidP="000D56C0">
      <w:pPr>
        <w:ind w:firstLine="720"/>
        <w:jc w:val="both"/>
        <w:rPr>
          <w:sz w:val="28"/>
          <w:szCs w:val="28"/>
          <w:lang w:val="nl-NL"/>
        </w:rPr>
      </w:pPr>
      <w:r w:rsidRPr="00025C06">
        <w:rPr>
          <w:color w:val="000000"/>
          <w:sz w:val="28"/>
          <w:szCs w:val="28"/>
          <w:lang w:val="nl-NL"/>
        </w:rPr>
        <w:t xml:space="preserve">b) Mức hưởng </w:t>
      </w:r>
    </w:p>
    <w:p w:rsidR="000D56C0" w:rsidRPr="00025C06" w:rsidRDefault="000D56C0" w:rsidP="000D56C0">
      <w:pPr>
        <w:ind w:firstLine="720"/>
        <w:jc w:val="both"/>
        <w:rPr>
          <w:sz w:val="28"/>
          <w:szCs w:val="28"/>
          <w:lang w:val="nl-NL"/>
        </w:rPr>
      </w:pPr>
      <w:r w:rsidRPr="00025C06">
        <w:rPr>
          <w:sz w:val="28"/>
          <w:szCs w:val="28"/>
          <w:lang w:val="nl-NL"/>
        </w:rPr>
        <w:t>- Học sinh giỏi cấp Quốc gia</w:t>
      </w:r>
    </w:p>
    <w:p w:rsidR="000D56C0" w:rsidRPr="00025C06" w:rsidRDefault="000D56C0" w:rsidP="000D56C0">
      <w:pPr>
        <w:jc w:val="both"/>
        <w:rPr>
          <w:sz w:val="28"/>
          <w:szCs w:val="28"/>
          <w:lang w:val="nl-NL"/>
        </w:rPr>
      </w:pPr>
      <w:r w:rsidRPr="00025C06">
        <w:rPr>
          <w:b/>
          <w:sz w:val="28"/>
          <w:szCs w:val="28"/>
          <w:lang w:val="nl-NL"/>
        </w:rPr>
        <w:tab/>
        <w:t xml:space="preserve">  </w:t>
      </w:r>
      <w:r w:rsidRPr="00025C06">
        <w:rPr>
          <w:sz w:val="28"/>
          <w:szCs w:val="28"/>
          <w:lang w:val="nl-NL"/>
        </w:rPr>
        <w:t>+ Giải khuyến khích: Bằng 30% mức lương tối thiểu chung/tháng.</w:t>
      </w:r>
    </w:p>
    <w:p w:rsidR="000D56C0" w:rsidRPr="00025C06" w:rsidRDefault="000D56C0" w:rsidP="000D56C0">
      <w:pPr>
        <w:jc w:val="both"/>
        <w:rPr>
          <w:sz w:val="28"/>
          <w:szCs w:val="28"/>
          <w:lang w:val="nl-NL"/>
        </w:rPr>
      </w:pPr>
      <w:r w:rsidRPr="00025C06">
        <w:rPr>
          <w:sz w:val="28"/>
          <w:szCs w:val="28"/>
          <w:lang w:val="nl-NL"/>
        </w:rPr>
        <w:tab/>
        <w:t xml:space="preserve">  + Giải ba: Bằng 40% mức lương tối thiểu chung/tháng.</w:t>
      </w:r>
    </w:p>
    <w:p w:rsidR="000D56C0" w:rsidRPr="00025C06" w:rsidRDefault="000D56C0" w:rsidP="000D56C0">
      <w:pPr>
        <w:jc w:val="both"/>
        <w:rPr>
          <w:sz w:val="28"/>
          <w:szCs w:val="28"/>
          <w:lang w:val="nl-NL"/>
        </w:rPr>
      </w:pPr>
      <w:r w:rsidRPr="00025C06">
        <w:rPr>
          <w:sz w:val="28"/>
          <w:szCs w:val="28"/>
          <w:lang w:val="nl-NL"/>
        </w:rPr>
        <w:tab/>
        <w:t xml:space="preserve">  + Giải nhì: Bằng 45% mức lương tối thiểu chung/tháng.</w:t>
      </w:r>
    </w:p>
    <w:p w:rsidR="000D56C0" w:rsidRPr="00025C06" w:rsidRDefault="000D56C0" w:rsidP="000D56C0">
      <w:pPr>
        <w:jc w:val="both"/>
        <w:rPr>
          <w:sz w:val="28"/>
          <w:szCs w:val="28"/>
          <w:lang w:val="nl-NL"/>
        </w:rPr>
      </w:pPr>
      <w:r w:rsidRPr="00025C06">
        <w:rPr>
          <w:sz w:val="28"/>
          <w:szCs w:val="28"/>
          <w:lang w:val="nl-NL"/>
        </w:rPr>
        <w:tab/>
        <w:t xml:space="preserve">  + Giải nhất: Bằng 50% mức lương tối thiểu chung/tháng.</w:t>
      </w:r>
    </w:p>
    <w:p w:rsidR="000D56C0" w:rsidRPr="00025C06" w:rsidRDefault="000D56C0" w:rsidP="000D56C0">
      <w:pPr>
        <w:ind w:firstLine="720"/>
        <w:jc w:val="both"/>
        <w:rPr>
          <w:sz w:val="28"/>
          <w:szCs w:val="28"/>
          <w:lang w:val="nl-NL"/>
        </w:rPr>
      </w:pPr>
      <w:r w:rsidRPr="00025C06">
        <w:rPr>
          <w:sz w:val="28"/>
          <w:szCs w:val="28"/>
          <w:lang w:val="nl-NL"/>
        </w:rPr>
        <w:t>- Học sinh giỏi cấp khu vực quốc tế</w:t>
      </w:r>
    </w:p>
    <w:p w:rsidR="000D56C0" w:rsidRPr="00025C06" w:rsidRDefault="000D56C0" w:rsidP="000D56C0">
      <w:pPr>
        <w:jc w:val="both"/>
        <w:rPr>
          <w:sz w:val="28"/>
          <w:szCs w:val="28"/>
          <w:lang w:val="nl-NL"/>
        </w:rPr>
      </w:pPr>
      <w:r w:rsidRPr="00025C06">
        <w:rPr>
          <w:b/>
          <w:sz w:val="28"/>
          <w:szCs w:val="28"/>
          <w:lang w:val="nl-NL"/>
        </w:rPr>
        <w:tab/>
        <w:t xml:space="preserve">  </w:t>
      </w:r>
      <w:r w:rsidRPr="00025C06">
        <w:rPr>
          <w:sz w:val="28"/>
          <w:szCs w:val="28"/>
          <w:lang w:val="nl-NL"/>
        </w:rPr>
        <w:t>+ Giải khuyến khích: Bằng 60% mức lương tối thiểu chung/tháng.</w:t>
      </w:r>
    </w:p>
    <w:p w:rsidR="000D56C0" w:rsidRPr="00025C06" w:rsidRDefault="000D56C0" w:rsidP="000D56C0">
      <w:pPr>
        <w:jc w:val="both"/>
        <w:rPr>
          <w:sz w:val="28"/>
          <w:szCs w:val="28"/>
          <w:lang w:val="nl-NL"/>
        </w:rPr>
      </w:pPr>
      <w:r w:rsidRPr="00025C06">
        <w:rPr>
          <w:sz w:val="28"/>
          <w:szCs w:val="28"/>
          <w:lang w:val="nl-NL"/>
        </w:rPr>
        <w:tab/>
        <w:t xml:space="preserve">  + Giải ba: Bằng 70% mức lương tối thiểu chung/tháng.</w:t>
      </w:r>
    </w:p>
    <w:p w:rsidR="000D56C0" w:rsidRPr="00025C06" w:rsidRDefault="000D56C0" w:rsidP="000D56C0">
      <w:pPr>
        <w:jc w:val="both"/>
        <w:rPr>
          <w:sz w:val="28"/>
          <w:szCs w:val="28"/>
          <w:lang w:val="nl-NL"/>
        </w:rPr>
      </w:pPr>
      <w:r w:rsidRPr="00025C06">
        <w:rPr>
          <w:sz w:val="28"/>
          <w:szCs w:val="28"/>
          <w:lang w:val="nl-NL"/>
        </w:rPr>
        <w:tab/>
        <w:t xml:space="preserve">  + Giải nhì: Bằng 75% mức lương tối thiểu chung/tháng.</w:t>
      </w:r>
    </w:p>
    <w:p w:rsidR="000D56C0" w:rsidRPr="00025C06" w:rsidRDefault="000D56C0" w:rsidP="000D56C0">
      <w:pPr>
        <w:jc w:val="both"/>
        <w:rPr>
          <w:sz w:val="28"/>
          <w:szCs w:val="28"/>
          <w:lang w:val="nl-NL"/>
        </w:rPr>
      </w:pPr>
      <w:r w:rsidRPr="00025C06">
        <w:rPr>
          <w:sz w:val="28"/>
          <w:szCs w:val="28"/>
          <w:lang w:val="nl-NL"/>
        </w:rPr>
        <w:tab/>
        <w:t xml:space="preserve">  + Giải nhất: Bằng 80% mức lương tối thiểu chung/tháng.</w:t>
      </w:r>
    </w:p>
    <w:p w:rsidR="000D56C0" w:rsidRPr="00025C06" w:rsidRDefault="000D56C0" w:rsidP="000D56C0">
      <w:pPr>
        <w:ind w:firstLine="720"/>
        <w:jc w:val="both"/>
        <w:rPr>
          <w:sz w:val="28"/>
          <w:szCs w:val="28"/>
          <w:lang w:val="nl-NL"/>
        </w:rPr>
      </w:pPr>
      <w:r w:rsidRPr="00025C06">
        <w:rPr>
          <w:sz w:val="28"/>
          <w:szCs w:val="28"/>
          <w:lang w:val="nl-NL"/>
        </w:rPr>
        <w:t>- Học sinh giỏi cấp quốc tế</w:t>
      </w:r>
    </w:p>
    <w:p w:rsidR="000D56C0" w:rsidRPr="00025C06" w:rsidRDefault="000D56C0" w:rsidP="000D56C0">
      <w:pPr>
        <w:jc w:val="both"/>
        <w:rPr>
          <w:sz w:val="28"/>
          <w:szCs w:val="28"/>
          <w:lang w:val="nl-NL"/>
        </w:rPr>
      </w:pPr>
      <w:r w:rsidRPr="00025C06">
        <w:rPr>
          <w:b/>
          <w:sz w:val="28"/>
          <w:szCs w:val="28"/>
          <w:lang w:val="nl-NL"/>
        </w:rPr>
        <w:tab/>
        <w:t xml:space="preserve">  </w:t>
      </w:r>
      <w:r w:rsidRPr="00025C06">
        <w:rPr>
          <w:sz w:val="28"/>
          <w:szCs w:val="28"/>
          <w:lang w:val="nl-NL"/>
        </w:rPr>
        <w:t>+ Giải khuyến khích: Bằng 80% mức lương tối thiểu chung/tháng.</w:t>
      </w:r>
    </w:p>
    <w:p w:rsidR="000D56C0" w:rsidRPr="00025C06" w:rsidRDefault="000D56C0" w:rsidP="000D56C0">
      <w:pPr>
        <w:jc w:val="both"/>
        <w:rPr>
          <w:sz w:val="28"/>
          <w:szCs w:val="28"/>
          <w:lang w:val="nl-NL"/>
        </w:rPr>
      </w:pPr>
      <w:r w:rsidRPr="00025C06">
        <w:rPr>
          <w:sz w:val="28"/>
          <w:szCs w:val="28"/>
          <w:lang w:val="nl-NL"/>
        </w:rPr>
        <w:tab/>
        <w:t xml:space="preserve">  + Giải ba: Bằng 90% mức lương tối thiểu chung/tháng.</w:t>
      </w:r>
    </w:p>
    <w:p w:rsidR="000D56C0" w:rsidRPr="00025C06" w:rsidRDefault="000D56C0" w:rsidP="000D56C0">
      <w:pPr>
        <w:jc w:val="both"/>
        <w:rPr>
          <w:sz w:val="28"/>
          <w:szCs w:val="28"/>
          <w:lang w:val="nl-NL"/>
        </w:rPr>
      </w:pPr>
      <w:r w:rsidRPr="00025C06">
        <w:rPr>
          <w:sz w:val="28"/>
          <w:szCs w:val="28"/>
          <w:lang w:val="nl-NL"/>
        </w:rPr>
        <w:tab/>
        <w:t xml:space="preserve">  + Giải nhì: Bằng 95% mức lương tối thiểu chung/tháng.</w:t>
      </w:r>
    </w:p>
    <w:p w:rsidR="000D56C0" w:rsidRPr="00025C06" w:rsidRDefault="000D56C0" w:rsidP="000D56C0">
      <w:pPr>
        <w:jc w:val="both"/>
        <w:rPr>
          <w:sz w:val="28"/>
          <w:szCs w:val="28"/>
          <w:lang w:val="nl-NL"/>
        </w:rPr>
      </w:pPr>
      <w:r w:rsidRPr="00025C06">
        <w:rPr>
          <w:sz w:val="28"/>
          <w:szCs w:val="28"/>
          <w:lang w:val="nl-NL"/>
        </w:rPr>
        <w:tab/>
        <w:t xml:space="preserve">  + Giải nhất: Bằng 100% mức lương tối thiểu chung/tháng.</w:t>
      </w:r>
    </w:p>
    <w:p w:rsidR="000D56C0" w:rsidRPr="00025C06" w:rsidRDefault="000D56C0" w:rsidP="000D56C0">
      <w:pPr>
        <w:ind w:firstLine="720"/>
        <w:jc w:val="both"/>
        <w:rPr>
          <w:sz w:val="28"/>
          <w:szCs w:val="28"/>
          <w:lang w:val="nl-NL"/>
        </w:rPr>
      </w:pPr>
      <w:r w:rsidRPr="00025C06">
        <w:rPr>
          <w:sz w:val="28"/>
          <w:szCs w:val="28"/>
          <w:lang w:val="nl-NL"/>
        </w:rPr>
        <w:t>2. Đối với các trường đặc thù</w:t>
      </w:r>
    </w:p>
    <w:p w:rsidR="000D56C0" w:rsidRPr="00025C06" w:rsidRDefault="000D56C0" w:rsidP="000D56C0">
      <w:pPr>
        <w:ind w:firstLine="720"/>
        <w:jc w:val="both"/>
        <w:rPr>
          <w:sz w:val="28"/>
          <w:szCs w:val="28"/>
          <w:lang w:val="nl-NL"/>
        </w:rPr>
      </w:pPr>
      <w:r w:rsidRPr="00025C06">
        <w:rPr>
          <w:sz w:val="28"/>
          <w:szCs w:val="28"/>
          <w:lang w:val="nl-NL"/>
        </w:rPr>
        <w:t>a) Trường Trung học phổ thông chuyên Hoàng Lê Kha</w:t>
      </w:r>
    </w:p>
    <w:p w:rsidR="000D56C0" w:rsidRPr="00025C06" w:rsidRDefault="000D56C0" w:rsidP="000D56C0">
      <w:pPr>
        <w:jc w:val="both"/>
        <w:rPr>
          <w:color w:val="000000"/>
          <w:sz w:val="28"/>
          <w:szCs w:val="28"/>
          <w:lang w:val="nl-NL"/>
        </w:rPr>
      </w:pPr>
      <w:r w:rsidRPr="00025C06">
        <w:rPr>
          <w:sz w:val="28"/>
          <w:szCs w:val="28"/>
          <w:lang w:val="nl-NL"/>
        </w:rPr>
        <w:tab/>
        <w:t xml:space="preserve"> - Đối tượng được hưởng là học sinh đạt thành tích xuất sắc và có điểm môn chuyên đạt từ 8,5 trở lên.</w:t>
      </w:r>
    </w:p>
    <w:p w:rsidR="000D56C0" w:rsidRPr="00025C06" w:rsidRDefault="000D56C0" w:rsidP="000D56C0">
      <w:pPr>
        <w:jc w:val="both"/>
        <w:rPr>
          <w:sz w:val="28"/>
          <w:szCs w:val="28"/>
        </w:rPr>
      </w:pPr>
      <w:r w:rsidRPr="00025C06">
        <w:rPr>
          <w:color w:val="000000"/>
          <w:sz w:val="28"/>
          <w:szCs w:val="28"/>
          <w:lang w:val="nl-NL"/>
        </w:rPr>
        <w:tab/>
        <w:t xml:space="preserve"> </w:t>
      </w:r>
      <w:r w:rsidRPr="00025C06">
        <w:rPr>
          <w:color w:val="000000"/>
          <w:sz w:val="28"/>
          <w:szCs w:val="28"/>
        </w:rPr>
        <w:t xml:space="preserve">- Mức </w:t>
      </w:r>
      <w:r w:rsidRPr="00025C06">
        <w:rPr>
          <w:sz w:val="28"/>
          <w:szCs w:val="28"/>
        </w:rPr>
        <w:t>hưởng: Bằng 30% mức lương tối thiểu chung/tháng.</w:t>
      </w:r>
    </w:p>
    <w:p w:rsidR="000D56C0" w:rsidRPr="00025C06" w:rsidRDefault="000D56C0" w:rsidP="000D56C0">
      <w:pPr>
        <w:jc w:val="both"/>
        <w:rPr>
          <w:iCs/>
          <w:sz w:val="28"/>
          <w:szCs w:val="28"/>
          <w:lang w:val="nl-NL"/>
        </w:rPr>
      </w:pPr>
      <w:r w:rsidRPr="00025C06">
        <w:rPr>
          <w:sz w:val="28"/>
          <w:szCs w:val="28"/>
        </w:rPr>
        <w:tab/>
        <w:t xml:space="preserve">b) </w:t>
      </w:r>
      <w:r w:rsidRPr="00025C06">
        <w:rPr>
          <w:iCs/>
          <w:sz w:val="28"/>
          <w:szCs w:val="28"/>
          <w:lang w:val="nl-NL"/>
        </w:rPr>
        <w:t>Trường Phổ thông Dân tộc nội trú tỉnh</w:t>
      </w:r>
    </w:p>
    <w:p w:rsidR="000D56C0" w:rsidRPr="00025C06" w:rsidRDefault="000D56C0" w:rsidP="000D56C0">
      <w:pPr>
        <w:jc w:val="both"/>
        <w:rPr>
          <w:sz w:val="28"/>
          <w:szCs w:val="28"/>
        </w:rPr>
      </w:pPr>
      <w:r w:rsidRPr="00025C06">
        <w:rPr>
          <w:sz w:val="28"/>
          <w:szCs w:val="28"/>
        </w:rPr>
        <w:tab/>
        <w:t xml:space="preserve"> - Đối tượng được hưởng là</w:t>
      </w:r>
      <w:r w:rsidRPr="00025C06">
        <w:rPr>
          <w:b/>
          <w:sz w:val="28"/>
          <w:szCs w:val="28"/>
        </w:rPr>
        <w:t xml:space="preserve"> </w:t>
      </w:r>
      <w:r w:rsidRPr="00025C06">
        <w:rPr>
          <w:sz w:val="28"/>
          <w:szCs w:val="28"/>
        </w:rPr>
        <w:t>học sinh đạt thành tích giỏi; tiên tiến trong học tập.</w:t>
      </w:r>
    </w:p>
    <w:p w:rsidR="000D56C0" w:rsidRPr="00025C06" w:rsidRDefault="000D56C0" w:rsidP="000D56C0">
      <w:pPr>
        <w:jc w:val="both"/>
        <w:rPr>
          <w:sz w:val="28"/>
          <w:szCs w:val="28"/>
        </w:rPr>
      </w:pPr>
      <w:r w:rsidRPr="00025C06">
        <w:rPr>
          <w:color w:val="000000"/>
          <w:sz w:val="28"/>
          <w:szCs w:val="28"/>
        </w:rPr>
        <w:tab/>
        <w:t xml:space="preserve"> -  Mức hưởng:</w:t>
      </w:r>
    </w:p>
    <w:p w:rsidR="000D56C0" w:rsidRPr="00025C06" w:rsidRDefault="000D56C0" w:rsidP="000D56C0">
      <w:pPr>
        <w:jc w:val="both"/>
        <w:rPr>
          <w:sz w:val="28"/>
          <w:szCs w:val="28"/>
        </w:rPr>
      </w:pPr>
      <w:r w:rsidRPr="00025C06">
        <w:rPr>
          <w:sz w:val="28"/>
          <w:szCs w:val="28"/>
        </w:rPr>
        <w:tab/>
        <w:t xml:space="preserve"> + Học sinh giỏi: Bằng 25% mức lương tối thiểu chung/tháng</w:t>
      </w:r>
      <w:r w:rsidRPr="00025C06">
        <w:rPr>
          <w:i/>
          <w:sz w:val="28"/>
          <w:szCs w:val="28"/>
        </w:rPr>
        <w:t>.</w:t>
      </w:r>
    </w:p>
    <w:p w:rsidR="000D56C0" w:rsidRPr="00025C06" w:rsidRDefault="000D56C0" w:rsidP="000D56C0">
      <w:pPr>
        <w:jc w:val="both"/>
        <w:rPr>
          <w:i/>
          <w:sz w:val="28"/>
          <w:szCs w:val="28"/>
        </w:rPr>
      </w:pPr>
      <w:r w:rsidRPr="00025C06">
        <w:rPr>
          <w:sz w:val="28"/>
          <w:szCs w:val="28"/>
        </w:rPr>
        <w:tab/>
        <w:t xml:space="preserve">  + Học sinh tiên tiến: Bằng 20% mức lương tối thiểu chung/tháng</w:t>
      </w:r>
      <w:r w:rsidRPr="00025C06">
        <w:rPr>
          <w:i/>
          <w:sz w:val="28"/>
          <w:szCs w:val="28"/>
        </w:rPr>
        <w:t xml:space="preserve">. </w:t>
      </w:r>
    </w:p>
    <w:p w:rsidR="000D56C0" w:rsidRPr="00025C06" w:rsidRDefault="000D56C0" w:rsidP="000D56C0">
      <w:pPr>
        <w:jc w:val="both"/>
        <w:rPr>
          <w:sz w:val="28"/>
          <w:szCs w:val="28"/>
        </w:rPr>
      </w:pPr>
      <w:r w:rsidRPr="00025C06">
        <w:rPr>
          <w:sz w:val="28"/>
          <w:szCs w:val="28"/>
        </w:rPr>
        <w:tab/>
        <w:t>3. Đối với các trung tâm giáo dục thường xuyên huyện, thị xã</w:t>
      </w:r>
    </w:p>
    <w:p w:rsidR="000D56C0" w:rsidRPr="00025C06" w:rsidRDefault="000D56C0" w:rsidP="000D56C0">
      <w:pPr>
        <w:ind w:firstLine="576"/>
        <w:jc w:val="both"/>
        <w:rPr>
          <w:i/>
          <w:sz w:val="28"/>
          <w:szCs w:val="28"/>
        </w:rPr>
      </w:pPr>
      <w:r w:rsidRPr="00025C06">
        <w:rPr>
          <w:sz w:val="28"/>
          <w:szCs w:val="28"/>
        </w:rPr>
        <w:tab/>
        <w:t>a) Đối tượng được hưởng là học viên theo chương trình giáo dục thường xuyên cấp trung học phổ thông có đánh giá xếp loại về hạnh kiểm, đạt thành tích giỏi trong học tập.</w:t>
      </w:r>
    </w:p>
    <w:p w:rsidR="000D56C0" w:rsidRPr="00025C06" w:rsidRDefault="000D56C0" w:rsidP="000D56C0">
      <w:pPr>
        <w:jc w:val="both"/>
        <w:rPr>
          <w:sz w:val="28"/>
          <w:szCs w:val="28"/>
        </w:rPr>
      </w:pPr>
      <w:r w:rsidRPr="00025C06">
        <w:rPr>
          <w:color w:val="000000"/>
          <w:sz w:val="28"/>
          <w:szCs w:val="28"/>
        </w:rPr>
        <w:tab/>
        <w:t xml:space="preserve">b)  Mức hưởng: </w:t>
      </w:r>
      <w:r w:rsidRPr="00025C06">
        <w:rPr>
          <w:sz w:val="28"/>
          <w:szCs w:val="28"/>
        </w:rPr>
        <w:t xml:space="preserve">Bằng 25% mức lương tối thiểu chung/tháng. </w:t>
      </w:r>
    </w:p>
    <w:p w:rsidR="000D56C0" w:rsidRPr="00025C06" w:rsidRDefault="000D56C0" w:rsidP="000D56C0">
      <w:pPr>
        <w:jc w:val="both"/>
        <w:rPr>
          <w:sz w:val="28"/>
          <w:szCs w:val="28"/>
        </w:rPr>
      </w:pPr>
      <w:r w:rsidRPr="00025C06">
        <w:rPr>
          <w:sz w:val="28"/>
          <w:szCs w:val="28"/>
        </w:rPr>
        <w:tab/>
        <w:t>4. Trường hợp đặc biệt nếu một học sinh cùng lúc đạt từ hai thành tích trở lên theo quy định tại khoản 1, khoản 2 và khoản 3 Điều này thì được hưởng tất cả các chế độ khuyến khích học tập cho mỗi thành tích đạt được theo quy định này.</w:t>
      </w:r>
    </w:p>
    <w:p w:rsidR="000D56C0" w:rsidRPr="00025C06" w:rsidRDefault="000D56C0" w:rsidP="000D56C0">
      <w:pPr>
        <w:jc w:val="both"/>
        <w:rPr>
          <w:sz w:val="28"/>
          <w:szCs w:val="28"/>
        </w:rPr>
      </w:pPr>
      <w:r w:rsidRPr="00025C06">
        <w:rPr>
          <w:i/>
          <w:sz w:val="28"/>
          <w:szCs w:val="28"/>
        </w:rPr>
        <w:tab/>
      </w:r>
      <w:r w:rsidRPr="00025C06">
        <w:rPr>
          <w:sz w:val="28"/>
          <w:szCs w:val="28"/>
        </w:rPr>
        <w:t>5. Tổ chức xét hưởng chế độ khuyến khích học tập và thời gian được hưởng:</w:t>
      </w:r>
    </w:p>
    <w:p w:rsidR="000D56C0" w:rsidRPr="00025C06" w:rsidRDefault="000D56C0" w:rsidP="000D56C0">
      <w:pPr>
        <w:jc w:val="both"/>
        <w:rPr>
          <w:sz w:val="28"/>
          <w:szCs w:val="28"/>
        </w:rPr>
      </w:pPr>
      <w:r w:rsidRPr="00025C06">
        <w:rPr>
          <w:i/>
          <w:sz w:val="28"/>
          <w:szCs w:val="28"/>
        </w:rPr>
        <w:lastRenderedPageBreak/>
        <w:tab/>
      </w:r>
      <w:r w:rsidRPr="00025C06">
        <w:rPr>
          <w:sz w:val="28"/>
          <w:szCs w:val="28"/>
        </w:rPr>
        <w:t>a)</w:t>
      </w:r>
      <w:r w:rsidRPr="00025C06">
        <w:rPr>
          <w:i/>
          <w:sz w:val="28"/>
          <w:szCs w:val="28"/>
        </w:rPr>
        <w:t xml:space="preserve"> </w:t>
      </w:r>
      <w:r w:rsidRPr="00025C06">
        <w:rPr>
          <w:sz w:val="28"/>
          <w:szCs w:val="28"/>
        </w:rPr>
        <w:t>Chế độ khuyến khích học tập theo khoản 1, 2, 3 Điều này được xét theo học kỳ.</w:t>
      </w:r>
    </w:p>
    <w:p w:rsidR="000D56C0" w:rsidRPr="00025C06" w:rsidRDefault="000D56C0" w:rsidP="000D56C0">
      <w:pPr>
        <w:ind w:firstLine="720"/>
        <w:jc w:val="both"/>
        <w:rPr>
          <w:sz w:val="28"/>
          <w:szCs w:val="28"/>
        </w:rPr>
      </w:pPr>
      <w:r w:rsidRPr="00025C06">
        <w:rPr>
          <w:sz w:val="28"/>
          <w:szCs w:val="28"/>
        </w:rPr>
        <w:t xml:space="preserve">b) Thời gian được hưởng: 9 tháng/năm học.  </w:t>
      </w:r>
    </w:p>
    <w:p w:rsidR="000D56C0" w:rsidRPr="00025C06" w:rsidRDefault="000D56C0" w:rsidP="000D56C0">
      <w:pPr>
        <w:ind w:firstLine="720"/>
        <w:jc w:val="both"/>
        <w:rPr>
          <w:color w:val="000000"/>
          <w:sz w:val="28"/>
          <w:szCs w:val="28"/>
        </w:rPr>
      </w:pPr>
      <w:r w:rsidRPr="00025C06">
        <w:rPr>
          <w:b/>
          <w:bCs/>
          <w:color w:val="000000"/>
          <w:sz w:val="28"/>
          <w:szCs w:val="28"/>
        </w:rPr>
        <w:t>Điều 2.</w:t>
      </w:r>
      <w:r w:rsidRPr="00025C06">
        <w:rPr>
          <w:color w:val="000000"/>
          <w:sz w:val="28"/>
          <w:szCs w:val="28"/>
        </w:rPr>
        <w:t xml:space="preserve"> Nghị quyết này có hiệu lực thi hành sau 10 ngày</w:t>
      </w:r>
      <w:r>
        <w:rPr>
          <w:color w:val="000000"/>
          <w:sz w:val="28"/>
          <w:szCs w:val="28"/>
        </w:rPr>
        <w:t>,</w:t>
      </w:r>
      <w:r w:rsidRPr="00025C06">
        <w:rPr>
          <w:color w:val="000000"/>
          <w:sz w:val="28"/>
          <w:szCs w:val="28"/>
        </w:rPr>
        <w:t xml:space="preserve"> kể từ ngày Hội đồng nhân dân tỉnh thông qua. </w:t>
      </w:r>
    </w:p>
    <w:p w:rsidR="000D56C0" w:rsidRPr="00025C06" w:rsidRDefault="000D56C0" w:rsidP="000D56C0">
      <w:pPr>
        <w:tabs>
          <w:tab w:val="right" w:leader="dot" w:pos="7920"/>
        </w:tabs>
        <w:ind w:firstLine="713"/>
        <w:jc w:val="both"/>
        <w:rPr>
          <w:color w:val="000000"/>
          <w:sz w:val="28"/>
          <w:szCs w:val="28"/>
        </w:rPr>
      </w:pPr>
      <w:r w:rsidRPr="00025C06">
        <w:rPr>
          <w:b/>
          <w:bCs/>
          <w:color w:val="000000"/>
          <w:sz w:val="28"/>
          <w:szCs w:val="28"/>
        </w:rPr>
        <w:t>Điều 3.</w:t>
      </w:r>
      <w:r w:rsidRPr="00025C06">
        <w:rPr>
          <w:color w:val="000000"/>
          <w:sz w:val="28"/>
          <w:szCs w:val="28"/>
        </w:rPr>
        <w:t xml:space="preserve"> Giao Ủy ban nhân dân tỉnh tổ chức thực hiện Nghị quyết đảm bảo đúng quy định. </w:t>
      </w:r>
      <w:r>
        <w:rPr>
          <w:color w:val="000000"/>
          <w:sz w:val="28"/>
          <w:szCs w:val="28"/>
        </w:rPr>
        <w:t>Hàng</w:t>
      </w:r>
      <w:r w:rsidRPr="00025C06">
        <w:rPr>
          <w:color w:val="000000"/>
          <w:sz w:val="28"/>
          <w:szCs w:val="28"/>
        </w:rPr>
        <w:t xml:space="preserve"> năm, Ủy ban nhân dân tỉnh báo cáo Hội đồng nhân dân tỉnh về tình hình triển khai và kết quả thực hiện.</w:t>
      </w:r>
    </w:p>
    <w:p w:rsidR="000D56C0" w:rsidRPr="00025C06" w:rsidRDefault="000D56C0" w:rsidP="000D56C0">
      <w:pPr>
        <w:tabs>
          <w:tab w:val="right" w:leader="dot" w:pos="7920"/>
        </w:tabs>
        <w:ind w:firstLine="713"/>
        <w:jc w:val="both"/>
        <w:rPr>
          <w:color w:val="000000"/>
          <w:sz w:val="28"/>
          <w:szCs w:val="28"/>
        </w:rPr>
      </w:pPr>
      <w:r w:rsidRPr="00025C06">
        <w:rPr>
          <w:b/>
          <w:bCs/>
          <w:color w:val="000000"/>
          <w:sz w:val="28"/>
          <w:szCs w:val="28"/>
        </w:rPr>
        <w:tab/>
        <w:t>Điều 4.</w:t>
      </w:r>
      <w:r w:rsidRPr="00025C06">
        <w:rPr>
          <w:color w:val="000000"/>
          <w:sz w:val="28"/>
          <w:szCs w:val="28"/>
        </w:rPr>
        <w:t xml:space="preserve"> Giao Thường trực Hội đồng nhân dân, các Ban Hội đồng nhân dân và đại biểu Hội đồng nhân dân tỉnh tổ chức kiểm tra, giám sát thực hiện Nghị quyết. </w:t>
      </w:r>
    </w:p>
    <w:p w:rsidR="000D56C0" w:rsidRPr="00025C06" w:rsidRDefault="000D56C0" w:rsidP="000D56C0">
      <w:pPr>
        <w:tabs>
          <w:tab w:val="right" w:leader="dot" w:pos="7920"/>
        </w:tabs>
        <w:ind w:firstLine="652"/>
        <w:jc w:val="both"/>
        <w:rPr>
          <w:color w:val="000000"/>
          <w:sz w:val="28"/>
          <w:szCs w:val="28"/>
        </w:rPr>
      </w:pPr>
      <w:r w:rsidRPr="00025C06">
        <w:rPr>
          <w:color w:val="000000"/>
          <w:sz w:val="28"/>
          <w:szCs w:val="28"/>
        </w:rPr>
        <w:t xml:space="preserve">Nghị quyết này đã được Hội đồng nhân dân tỉnh Tây Ninh </w:t>
      </w:r>
      <w:r>
        <w:rPr>
          <w:color w:val="000000"/>
          <w:sz w:val="28"/>
          <w:szCs w:val="28"/>
        </w:rPr>
        <w:t>k</w:t>
      </w:r>
      <w:r w:rsidRPr="00025C06">
        <w:rPr>
          <w:color w:val="000000"/>
          <w:sz w:val="28"/>
          <w:szCs w:val="28"/>
        </w:rPr>
        <w:t>hóa VIII, kỳ họp thứ 5 thông qua./.</w:t>
      </w:r>
    </w:p>
    <w:p w:rsidR="000D56C0" w:rsidRPr="00025C06" w:rsidRDefault="000D56C0" w:rsidP="000D56C0">
      <w:pPr>
        <w:tabs>
          <w:tab w:val="right" w:leader="dot" w:pos="7920"/>
        </w:tabs>
        <w:ind w:firstLine="652"/>
        <w:rPr>
          <w:color w:val="000000"/>
          <w:sz w:val="28"/>
          <w:szCs w:val="28"/>
        </w:rPr>
      </w:pPr>
    </w:p>
    <w:tbl>
      <w:tblPr>
        <w:tblW w:w="9229" w:type="dxa"/>
        <w:tblInd w:w="108" w:type="dxa"/>
        <w:tblLayout w:type="fixed"/>
        <w:tblLook w:val="01E0" w:firstRow="1" w:lastRow="1" w:firstColumn="1" w:lastColumn="1" w:noHBand="0" w:noVBand="0"/>
      </w:tblPr>
      <w:tblGrid>
        <w:gridCol w:w="5040"/>
        <w:gridCol w:w="4189"/>
      </w:tblGrid>
      <w:tr w:rsidR="000D56C0" w:rsidRPr="00025C06" w:rsidTr="006F0FE2">
        <w:tc>
          <w:tcPr>
            <w:tcW w:w="5040" w:type="dxa"/>
          </w:tcPr>
          <w:p w:rsidR="000D56C0" w:rsidRPr="00025C06" w:rsidRDefault="000D56C0" w:rsidP="006F0FE2">
            <w:pPr>
              <w:rPr>
                <w:b/>
                <w:i/>
                <w:color w:val="000000"/>
                <w:sz w:val="28"/>
                <w:szCs w:val="28"/>
              </w:rPr>
            </w:pPr>
          </w:p>
        </w:tc>
        <w:tc>
          <w:tcPr>
            <w:tcW w:w="4189" w:type="dxa"/>
          </w:tcPr>
          <w:p w:rsidR="000D56C0" w:rsidRPr="00025C06" w:rsidRDefault="000D56C0" w:rsidP="006F0FE2">
            <w:pPr>
              <w:jc w:val="center"/>
              <w:rPr>
                <w:b/>
                <w:color w:val="000000"/>
                <w:sz w:val="28"/>
                <w:szCs w:val="28"/>
              </w:rPr>
            </w:pPr>
            <w:r w:rsidRPr="00025C06">
              <w:rPr>
                <w:b/>
                <w:color w:val="000000"/>
                <w:sz w:val="28"/>
                <w:szCs w:val="28"/>
              </w:rPr>
              <w:t>CHỦ TỊCH</w:t>
            </w:r>
          </w:p>
        </w:tc>
      </w:tr>
      <w:tr w:rsidR="000D56C0" w:rsidRPr="00025C06" w:rsidTr="006F0FE2">
        <w:tc>
          <w:tcPr>
            <w:tcW w:w="5040" w:type="dxa"/>
          </w:tcPr>
          <w:p w:rsidR="000D56C0" w:rsidRPr="00025C06" w:rsidRDefault="000D56C0" w:rsidP="006F0FE2">
            <w:pPr>
              <w:tabs>
                <w:tab w:val="center" w:pos="1620"/>
                <w:tab w:val="center" w:pos="5760"/>
              </w:tabs>
              <w:ind w:firstLine="58"/>
              <w:rPr>
                <w:b/>
                <w:color w:val="000000"/>
                <w:sz w:val="28"/>
                <w:szCs w:val="28"/>
              </w:rPr>
            </w:pPr>
          </w:p>
        </w:tc>
        <w:tc>
          <w:tcPr>
            <w:tcW w:w="4189" w:type="dxa"/>
          </w:tcPr>
          <w:p w:rsidR="000D56C0" w:rsidRPr="00025C06" w:rsidRDefault="000D56C0" w:rsidP="006F0FE2">
            <w:pPr>
              <w:jc w:val="center"/>
              <w:rPr>
                <w:b/>
                <w:color w:val="000000"/>
                <w:sz w:val="28"/>
                <w:szCs w:val="28"/>
              </w:rPr>
            </w:pPr>
            <w:r w:rsidRPr="00025C06">
              <w:rPr>
                <w:b/>
                <w:color w:val="000000"/>
                <w:sz w:val="28"/>
                <w:szCs w:val="28"/>
              </w:rPr>
              <w:t>Võ Hùng Việt</w:t>
            </w:r>
          </w:p>
        </w:tc>
      </w:tr>
    </w:tbl>
    <w:p w:rsidR="000D56C0" w:rsidRPr="00025C06" w:rsidRDefault="000D56C0" w:rsidP="000D56C0">
      <w:pPr>
        <w:rPr>
          <w:sz w:val="28"/>
          <w:szCs w:val="28"/>
        </w:rPr>
      </w:pPr>
    </w:p>
    <w:p w:rsidR="000D56C0" w:rsidRPr="00025C06" w:rsidRDefault="000D56C0" w:rsidP="000D56C0">
      <w:pPr>
        <w:rPr>
          <w:sz w:val="28"/>
          <w:szCs w:val="28"/>
        </w:rPr>
      </w:pPr>
    </w:p>
    <w:p w:rsidR="000D56C0" w:rsidRDefault="000D56C0" w:rsidP="000D56C0">
      <w:pPr>
        <w:rPr>
          <w:lang w:val="vi-VN"/>
        </w:rPr>
      </w:pPr>
    </w:p>
    <w:p w:rsidR="000D56C0" w:rsidRDefault="000D56C0" w:rsidP="000D56C0">
      <w:pPr>
        <w:rPr>
          <w:lang w:val="vi-VN"/>
        </w:rPr>
      </w:pPr>
    </w:p>
    <w:p w:rsidR="000D56C0" w:rsidRDefault="000D56C0" w:rsidP="000D56C0">
      <w:pPr>
        <w:rPr>
          <w:lang w:val="vi-VN"/>
        </w:rPr>
      </w:pPr>
    </w:p>
    <w:p w:rsidR="000D56C0" w:rsidRDefault="000D56C0" w:rsidP="000D56C0">
      <w:pPr>
        <w:rPr>
          <w:lang w:val="vi-VN"/>
        </w:rPr>
      </w:pPr>
    </w:p>
    <w:p w:rsidR="000D56C0" w:rsidRDefault="000D56C0" w:rsidP="000D56C0">
      <w:pPr>
        <w:rPr>
          <w:lang w:val="vi-VN"/>
        </w:rPr>
      </w:pPr>
    </w:p>
    <w:p w:rsidR="000D56C0" w:rsidRDefault="000D56C0" w:rsidP="000D56C0">
      <w:pPr>
        <w:rPr>
          <w:lang w:val="vi-VN"/>
        </w:rPr>
      </w:pPr>
    </w:p>
    <w:p w:rsidR="00EE0FAF" w:rsidRDefault="00EE0FAF"/>
    <w:sectPr w:rsidR="00EE0FAF" w:rsidSect="000D56C0">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C0"/>
    <w:rsid w:val="000D56C0"/>
    <w:rsid w:val="009076DA"/>
    <w:rsid w:val="00EE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6C0"/>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D56C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6C0"/>
    <w:rPr>
      <w:rFonts w:eastAsia="Times New Roman" w:cs="Times New Roman"/>
      <w:szCs w:val="24"/>
    </w:rPr>
  </w:style>
  <w:style w:type="paragraph" w:styleId="BodyText2">
    <w:name w:val="Body Text 2"/>
    <w:basedOn w:val="Normal"/>
    <w:link w:val="BodyText2Char"/>
    <w:rsid w:val="000D56C0"/>
    <w:pPr>
      <w:jc w:val="both"/>
    </w:pPr>
    <w:rPr>
      <w:sz w:val="28"/>
    </w:rPr>
  </w:style>
  <w:style w:type="character" w:customStyle="1" w:styleId="BodyText2Char">
    <w:name w:val="Body Text 2 Char"/>
    <w:basedOn w:val="DefaultParagraphFont"/>
    <w:link w:val="BodyText2"/>
    <w:rsid w:val="000D56C0"/>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6C0"/>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D56C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6C0"/>
    <w:rPr>
      <w:rFonts w:eastAsia="Times New Roman" w:cs="Times New Roman"/>
      <w:szCs w:val="24"/>
    </w:rPr>
  </w:style>
  <w:style w:type="paragraph" w:styleId="BodyText2">
    <w:name w:val="Body Text 2"/>
    <w:basedOn w:val="Normal"/>
    <w:link w:val="BodyText2Char"/>
    <w:rsid w:val="000D56C0"/>
    <w:pPr>
      <w:jc w:val="both"/>
    </w:pPr>
    <w:rPr>
      <w:sz w:val="28"/>
    </w:rPr>
  </w:style>
  <w:style w:type="character" w:customStyle="1" w:styleId="BodyText2Char">
    <w:name w:val="Body Text 2 Char"/>
    <w:basedOn w:val="DefaultParagraphFont"/>
    <w:link w:val="BodyText2"/>
    <w:rsid w:val="000D56C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2012-12-06T08:07:00Z</dcterms:created>
  <dcterms:modified xsi:type="dcterms:W3CDTF">2012-12-06T08:08:00Z</dcterms:modified>
</cp:coreProperties>
</file>