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E51E4C">
        <w:rPr>
          <w:rFonts w:ascii="Times New Roman" w:eastAsia="Times New Roman" w:hAnsi="Times New Roman" w:cs="Times New Roman"/>
          <w:i/>
          <w:sz w:val="26"/>
          <w:szCs w:val="26"/>
        </w:rPr>
        <w:t>01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E51E4C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CDC" w:rsidRPr="00D72872" w:rsidRDefault="000763E4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D72872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Văn bản hợp nhất số</w:t>
                            </w:r>
                            <w:r w:rsidR="00ED3D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7450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12</w:t>
                            </w:r>
                            <w:r w:rsidR="00D72872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/VBHN-BTNMT</w:t>
                            </w:r>
                            <w:r w:rsidR="00D72872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92CDC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n</w:t>
                            </w:r>
                            <w:r w:rsidR="00592CDC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gày </w:t>
                            </w:r>
                            <w:r w:rsidR="008D028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30</w:t>
                            </w:r>
                            <w:r w:rsidR="00E51E4C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/01/2024</w:t>
                            </w:r>
                            <w:r w:rsidR="00592CDC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của </w:t>
                            </w:r>
                            <w:r w:rsidR="00592CDC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Bộ Tài nguyên </w:t>
                            </w:r>
                          </w:p>
                          <w:p w:rsidR="000763E4" w:rsidRPr="00D72872" w:rsidRDefault="00592CDC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và Môi trường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592CDC" w:rsidRPr="00D72872" w:rsidRDefault="000763E4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D72872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Văn bản hợp nhất số</w:t>
                      </w:r>
                      <w:r w:rsidR="00ED3D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C7450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12</w:t>
                      </w:r>
                      <w:r w:rsidR="00D72872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/VBHN-BTNMT</w:t>
                      </w:r>
                      <w:r w:rsidR="00D72872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92CDC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n</w:t>
                      </w:r>
                      <w:r w:rsidR="00592CDC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gày </w:t>
                      </w:r>
                      <w:r w:rsidR="008D028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30</w:t>
                      </w:r>
                      <w:r w:rsidR="00E51E4C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/01/2024</w:t>
                      </w:r>
                      <w:r w:rsidR="00592CDC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của </w:t>
                      </w:r>
                      <w:r w:rsidR="00592CDC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Bộ Tài nguyên </w:t>
                      </w:r>
                    </w:p>
                    <w:p w:rsidR="000763E4" w:rsidRPr="00D72872" w:rsidRDefault="00592CDC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và Môi trường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91294A">
        <w:rPr>
          <w:rFonts w:ascii="Times New Roman" w:hAnsi="Times New Roman" w:cs="Times New Roman"/>
          <w:sz w:val="28"/>
          <w:szCs w:val="28"/>
        </w:rPr>
        <w:t>30</w:t>
      </w:r>
      <w:r w:rsidR="00E51E4C">
        <w:rPr>
          <w:rFonts w:ascii="Times New Roman" w:hAnsi="Times New Roman" w:cs="Times New Roman"/>
          <w:sz w:val="28"/>
          <w:szCs w:val="28"/>
        </w:rPr>
        <w:t>/01/2024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2CDC">
        <w:rPr>
          <w:rFonts w:ascii="Times New Roman" w:hAnsi="Times New Roman" w:cs="Times New Roman"/>
          <w:sz w:val="28"/>
          <w:szCs w:val="28"/>
        </w:rPr>
        <w:t xml:space="preserve">Bộ Tài nguyên và Môi trường </w:t>
      </w:r>
      <w:r w:rsidR="00D72872">
        <w:rPr>
          <w:rFonts w:ascii="Times New Roman" w:hAnsi="Times New Roman" w:cs="Times New Roman"/>
          <w:sz w:val="28"/>
          <w:szCs w:val="28"/>
        </w:rPr>
        <w:t xml:space="preserve">ban hành </w:t>
      </w:r>
      <w:r w:rsidR="008D0288">
        <w:rPr>
          <w:rFonts w:ascii="Times New Roman" w:hAnsi="Times New Roman" w:cs="Times New Roman"/>
          <w:sz w:val="28"/>
          <w:szCs w:val="28"/>
        </w:rPr>
        <w:t xml:space="preserve">Nghị định </w:t>
      </w:r>
      <w:r w:rsidR="0091294A">
        <w:rPr>
          <w:rFonts w:ascii="Times New Roman" w:hAnsi="Times New Roman" w:cs="Times New Roman"/>
          <w:sz w:val="28"/>
          <w:szCs w:val="28"/>
        </w:rPr>
        <w:t xml:space="preserve">về </w:t>
      </w:r>
      <w:r w:rsidR="00C74508">
        <w:rPr>
          <w:rFonts w:ascii="Times New Roman" w:hAnsi="Times New Roman" w:cs="Times New Roman"/>
          <w:sz w:val="28"/>
          <w:szCs w:val="28"/>
        </w:rPr>
        <w:t>tiêu chí xác định loài và chế độ quản lý loài thuộc Danh mục loài nguy cấp, quý, hiếm được ưu tiên bảo vệ</w:t>
      </w:r>
      <w:r w:rsidR="00E51E4C">
        <w:rPr>
          <w:rFonts w:ascii="Times New Roman" w:hAnsi="Times New Roman" w:cs="Times New Roman"/>
          <w:sz w:val="28"/>
          <w:szCs w:val="28"/>
        </w:rPr>
        <w:t xml:space="preserve"> </w:t>
      </w:r>
      <w:r w:rsidR="00592CDC">
        <w:rPr>
          <w:rFonts w:ascii="Times New Roman" w:hAnsi="Times New Roman" w:cs="Times New Roman"/>
          <w:sz w:val="28"/>
          <w:szCs w:val="28"/>
        </w:rPr>
        <w:t xml:space="preserve">tại </w:t>
      </w:r>
      <w:r w:rsidR="00D72872">
        <w:rPr>
          <w:rFonts w:ascii="Times New Roman" w:hAnsi="Times New Roman" w:cs="Times New Roman"/>
          <w:sz w:val="28"/>
          <w:szCs w:val="28"/>
        </w:rPr>
        <w:t>Văn bản hợp nhất</w:t>
      </w:r>
      <w:r w:rsidR="00592CDC">
        <w:rPr>
          <w:rFonts w:ascii="Times New Roman" w:hAnsi="Times New Roman" w:cs="Times New Roman"/>
          <w:sz w:val="28"/>
          <w:szCs w:val="28"/>
        </w:rPr>
        <w:t xml:space="preserve"> số </w:t>
      </w:r>
      <w:r w:rsidR="00C74508"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  <w:r w:rsidR="00D72872">
        <w:rPr>
          <w:rFonts w:ascii="Times New Roman" w:hAnsi="Times New Roman" w:cs="Times New Roman"/>
          <w:sz w:val="28"/>
          <w:szCs w:val="28"/>
        </w:rPr>
        <w:t>/VBHN-BTNMT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8D0288">
        <w:rPr>
          <w:rFonts w:ascii="Times New Roman" w:eastAsia="Times New Roman" w:hAnsi="Times New Roman" w:cs="Times New Roman"/>
          <w:sz w:val="28"/>
          <w:szCs w:val="28"/>
        </w:rPr>
        <w:t>Nghị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52851">
        <w:rPr>
          <w:rFonts w:ascii="Times New Roman" w:eastAsia="Times New Roman" w:hAnsi="Times New Roman" w:cs="Times New Roman"/>
          <w:sz w:val="28"/>
          <w:szCs w:val="28"/>
        </w:rPr>
        <w:t xml:space="preserve">Sở Tài nguyên và Môi trường và </w:t>
      </w:r>
      <w:r w:rsidR="000B3041">
        <w:rPr>
          <w:rFonts w:ascii="Times New Roman" w:eastAsia="Times New Roman" w:hAnsi="Times New Roman" w:cs="Times New Roman"/>
          <w:sz w:val="28"/>
          <w:szCs w:val="28"/>
        </w:rPr>
        <w:t>các đơn vị liên quan biết</w:t>
      </w:r>
      <w:r w:rsidR="00CC1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triển khai thực hiện</w:t>
      </w:r>
      <w:r w:rsidR="00D45AA7">
        <w:rPr>
          <w:rFonts w:ascii="Times New Roman" w:eastAsia="Times New Roman" w:hAnsi="Times New Roman" w:cs="Times New Roman"/>
          <w:sz w:val="28"/>
          <w:szCs w:val="28"/>
        </w:rPr>
        <w:t xml:space="preserve"> đúng quy định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8D0288">
        <w:rPr>
          <w:rFonts w:ascii="Times New Roman" w:eastAsia="Times New Roman" w:hAnsi="Times New Roman" w:cs="Times New Roman"/>
          <w:sz w:val="28"/>
          <w:szCs w:val="28"/>
        </w:rPr>
        <w:t>Nghị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C74508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2B08"/>
    <w:rsid w:val="000763E4"/>
    <w:rsid w:val="00093BBB"/>
    <w:rsid w:val="000B029D"/>
    <w:rsid w:val="000B3041"/>
    <w:rsid w:val="000E351C"/>
    <w:rsid w:val="00185762"/>
    <w:rsid w:val="001A0BE8"/>
    <w:rsid w:val="002D420C"/>
    <w:rsid w:val="003055A0"/>
    <w:rsid w:val="00344183"/>
    <w:rsid w:val="00384A01"/>
    <w:rsid w:val="004043B4"/>
    <w:rsid w:val="00412CD3"/>
    <w:rsid w:val="00444A3A"/>
    <w:rsid w:val="00452851"/>
    <w:rsid w:val="004761D4"/>
    <w:rsid w:val="00505BD1"/>
    <w:rsid w:val="005252CB"/>
    <w:rsid w:val="00525A05"/>
    <w:rsid w:val="00542053"/>
    <w:rsid w:val="00592CDC"/>
    <w:rsid w:val="005B0CAB"/>
    <w:rsid w:val="006A1877"/>
    <w:rsid w:val="006C471E"/>
    <w:rsid w:val="007B3919"/>
    <w:rsid w:val="0080122F"/>
    <w:rsid w:val="00872B79"/>
    <w:rsid w:val="008B7F3F"/>
    <w:rsid w:val="008D0288"/>
    <w:rsid w:val="009051BD"/>
    <w:rsid w:val="00905960"/>
    <w:rsid w:val="0091294A"/>
    <w:rsid w:val="0092059C"/>
    <w:rsid w:val="00937CE9"/>
    <w:rsid w:val="00963A1F"/>
    <w:rsid w:val="009805EA"/>
    <w:rsid w:val="00B534E2"/>
    <w:rsid w:val="00B94D35"/>
    <w:rsid w:val="00C06860"/>
    <w:rsid w:val="00C15AFF"/>
    <w:rsid w:val="00C23038"/>
    <w:rsid w:val="00C65195"/>
    <w:rsid w:val="00C74508"/>
    <w:rsid w:val="00C7712D"/>
    <w:rsid w:val="00CB099E"/>
    <w:rsid w:val="00CB0D21"/>
    <w:rsid w:val="00CC1FC8"/>
    <w:rsid w:val="00CD79E5"/>
    <w:rsid w:val="00D11236"/>
    <w:rsid w:val="00D45AA7"/>
    <w:rsid w:val="00D72872"/>
    <w:rsid w:val="00DB362E"/>
    <w:rsid w:val="00DF5883"/>
    <w:rsid w:val="00E516FC"/>
    <w:rsid w:val="00E51E4C"/>
    <w:rsid w:val="00E61378"/>
    <w:rsid w:val="00E9340E"/>
    <w:rsid w:val="00ED3D72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12098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2024-01-31T02:10:00Z</dcterms:created>
  <dcterms:modified xsi:type="dcterms:W3CDTF">2024-01-31T02:10:00Z</dcterms:modified>
</cp:coreProperties>
</file>